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FAD8" w14:textId="77777777" w:rsidR="006937F0" w:rsidRPr="006937F0" w:rsidRDefault="006937F0" w:rsidP="006937F0">
      <w:pPr>
        <w:spacing w:after="0" w:line="360" w:lineRule="auto"/>
        <w:jc w:val="center"/>
        <w:rPr>
          <w:rFonts w:eastAsia="Times New Roman" w:cs="Times New Roman"/>
          <w:color w:val="000000"/>
          <w:szCs w:val="24"/>
          <w:lang w:eastAsia="es-CO"/>
        </w:rPr>
      </w:pPr>
      <w:r w:rsidRPr="006937F0">
        <w:rPr>
          <w:rFonts w:eastAsia="Times New Roman" w:cs="Times New Roman"/>
          <w:b/>
          <w:bCs/>
          <w:color w:val="0000FF"/>
          <w:szCs w:val="24"/>
          <w:lang w:eastAsia="es-CO"/>
        </w:rPr>
        <w:t xml:space="preserve">OFICIO </w:t>
      </w:r>
      <w:proofErr w:type="spellStart"/>
      <w:r w:rsidRPr="006937F0">
        <w:rPr>
          <w:rFonts w:eastAsia="Times New Roman" w:cs="Times New Roman"/>
          <w:b/>
          <w:bCs/>
          <w:color w:val="0000FF"/>
          <w:szCs w:val="24"/>
          <w:lang w:eastAsia="es-CO"/>
        </w:rPr>
        <w:t>Nº</w:t>
      </w:r>
      <w:proofErr w:type="spellEnd"/>
      <w:r w:rsidRPr="006937F0">
        <w:rPr>
          <w:rFonts w:eastAsia="Times New Roman" w:cs="Times New Roman"/>
          <w:b/>
          <w:bCs/>
          <w:color w:val="0000FF"/>
          <w:szCs w:val="24"/>
          <w:lang w:eastAsia="es-CO"/>
        </w:rPr>
        <w:t xml:space="preserve"> 746 [904271]</w:t>
      </w:r>
    </w:p>
    <w:p w14:paraId="7F47E357" w14:textId="77777777" w:rsidR="006937F0" w:rsidRPr="006937F0" w:rsidRDefault="006937F0" w:rsidP="006937F0">
      <w:pPr>
        <w:spacing w:after="0" w:line="360" w:lineRule="auto"/>
        <w:jc w:val="center"/>
        <w:rPr>
          <w:rFonts w:eastAsia="Times New Roman" w:cs="Times New Roman"/>
          <w:color w:val="000000"/>
          <w:szCs w:val="24"/>
          <w:lang w:eastAsia="es-CO"/>
        </w:rPr>
      </w:pPr>
      <w:r w:rsidRPr="006937F0">
        <w:rPr>
          <w:rFonts w:eastAsia="Times New Roman" w:cs="Times New Roman"/>
          <w:b/>
          <w:bCs/>
          <w:color w:val="0000FF"/>
          <w:szCs w:val="24"/>
          <w:lang w:eastAsia="es-CO"/>
        </w:rPr>
        <w:t>03-06-2022</w:t>
      </w:r>
    </w:p>
    <w:p w14:paraId="03E98DA0" w14:textId="77777777" w:rsidR="006937F0" w:rsidRPr="006937F0" w:rsidRDefault="006937F0" w:rsidP="006937F0">
      <w:pPr>
        <w:spacing w:after="0" w:line="360" w:lineRule="auto"/>
        <w:jc w:val="center"/>
        <w:rPr>
          <w:rFonts w:eastAsia="Times New Roman" w:cs="Times New Roman"/>
          <w:color w:val="000000"/>
          <w:szCs w:val="24"/>
          <w:lang w:eastAsia="es-CO"/>
        </w:rPr>
      </w:pPr>
      <w:r w:rsidRPr="006937F0">
        <w:rPr>
          <w:rFonts w:eastAsia="Times New Roman" w:cs="Times New Roman"/>
          <w:b/>
          <w:bCs/>
          <w:color w:val="0000FF"/>
          <w:szCs w:val="24"/>
          <w:lang w:eastAsia="es-CO"/>
        </w:rPr>
        <w:t>DIAN</w:t>
      </w:r>
    </w:p>
    <w:p w14:paraId="31EAE0E8"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1AC2FD73"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4581DE19"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Subdirección de Normativa y Doctrina</w:t>
      </w:r>
    </w:p>
    <w:p w14:paraId="22323D33"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100208192-746</w:t>
      </w:r>
    </w:p>
    <w:p w14:paraId="7C629861"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Bogotá, D.C.</w:t>
      </w:r>
    </w:p>
    <w:p w14:paraId="6D7CACAF"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1913"/>
        <w:gridCol w:w="276"/>
        <w:gridCol w:w="276"/>
        <w:gridCol w:w="6891"/>
      </w:tblGrid>
      <w:tr w:rsidR="006937F0" w:rsidRPr="006937F0" w14:paraId="2FDF0EA0" w14:textId="77777777" w:rsidTr="006937F0">
        <w:tc>
          <w:tcPr>
            <w:tcW w:w="1933" w:type="dxa"/>
            <w:tcBorders>
              <w:top w:val="nil"/>
              <w:left w:val="nil"/>
              <w:bottom w:val="nil"/>
              <w:right w:val="nil"/>
            </w:tcBorders>
            <w:shd w:val="clear" w:color="auto" w:fill="auto"/>
            <w:tcMar>
              <w:top w:w="0" w:type="dxa"/>
              <w:left w:w="108" w:type="dxa"/>
              <w:bottom w:w="0" w:type="dxa"/>
              <w:right w:w="108" w:type="dxa"/>
            </w:tcMar>
            <w:hideMark/>
          </w:tcPr>
          <w:p w14:paraId="62F9A1B2"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DBD07B4"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7DD364A"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7222" w:type="dxa"/>
            <w:tcBorders>
              <w:top w:val="nil"/>
              <w:left w:val="nil"/>
              <w:bottom w:val="nil"/>
              <w:right w:val="nil"/>
            </w:tcBorders>
            <w:shd w:val="clear" w:color="auto" w:fill="auto"/>
            <w:tcMar>
              <w:top w:w="0" w:type="dxa"/>
              <w:left w:w="108" w:type="dxa"/>
              <w:bottom w:w="0" w:type="dxa"/>
              <w:right w:w="108" w:type="dxa"/>
            </w:tcMar>
            <w:hideMark/>
          </w:tcPr>
          <w:p w14:paraId="7C78B408"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Procedimiento tributario</w:t>
            </w:r>
          </w:p>
          <w:p w14:paraId="3D9FA08D"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Sistema de facturación electrónica</w:t>
            </w:r>
          </w:p>
        </w:tc>
      </w:tr>
      <w:tr w:rsidR="006937F0" w:rsidRPr="006937F0" w14:paraId="0958606D" w14:textId="77777777" w:rsidTr="006937F0">
        <w:tc>
          <w:tcPr>
            <w:tcW w:w="1933" w:type="dxa"/>
            <w:tcBorders>
              <w:top w:val="nil"/>
              <w:left w:val="nil"/>
              <w:bottom w:val="nil"/>
              <w:right w:val="nil"/>
            </w:tcBorders>
            <w:shd w:val="clear" w:color="auto" w:fill="auto"/>
            <w:tcMar>
              <w:top w:w="0" w:type="dxa"/>
              <w:left w:w="108" w:type="dxa"/>
              <w:bottom w:w="0" w:type="dxa"/>
              <w:right w:w="108" w:type="dxa"/>
            </w:tcMar>
            <w:hideMark/>
          </w:tcPr>
          <w:p w14:paraId="1B40DBF4"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242F297"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D614140"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7222" w:type="dxa"/>
            <w:tcBorders>
              <w:top w:val="nil"/>
              <w:left w:val="nil"/>
              <w:bottom w:val="nil"/>
              <w:right w:val="nil"/>
            </w:tcBorders>
            <w:shd w:val="clear" w:color="auto" w:fill="auto"/>
            <w:tcMar>
              <w:top w:w="0" w:type="dxa"/>
              <w:left w:w="108" w:type="dxa"/>
              <w:bottom w:w="0" w:type="dxa"/>
              <w:right w:w="108" w:type="dxa"/>
            </w:tcMar>
            <w:hideMark/>
          </w:tcPr>
          <w:p w14:paraId="17112F83" w14:textId="77777777" w:rsidR="006937F0" w:rsidRPr="006937F0" w:rsidRDefault="006937F0" w:rsidP="006937F0">
            <w:pPr>
              <w:spacing w:after="0" w:line="360" w:lineRule="auto"/>
              <w:jc w:val="both"/>
              <w:rPr>
                <w:rFonts w:eastAsia="Times New Roman" w:cs="Times New Roman"/>
                <w:szCs w:val="24"/>
                <w:highlight w:val="cyan"/>
                <w:lang w:eastAsia="es-CO"/>
              </w:rPr>
            </w:pPr>
            <w:r w:rsidRPr="006937F0">
              <w:rPr>
                <w:rFonts w:eastAsia="Times New Roman" w:cs="Times New Roman"/>
                <w:szCs w:val="24"/>
                <w:highlight w:val="cyan"/>
                <w:lang w:eastAsia="es-CO"/>
              </w:rPr>
              <w:t>Documento soporte en adquisiciones efectuadas a sujetos no obligados a expedir factura de venta o documento equivalente</w:t>
            </w:r>
          </w:p>
        </w:tc>
      </w:tr>
      <w:tr w:rsidR="006937F0" w:rsidRPr="006937F0" w14:paraId="4627B00D" w14:textId="77777777" w:rsidTr="006937F0">
        <w:tc>
          <w:tcPr>
            <w:tcW w:w="1933" w:type="dxa"/>
            <w:tcBorders>
              <w:top w:val="nil"/>
              <w:left w:val="nil"/>
              <w:bottom w:val="nil"/>
              <w:right w:val="nil"/>
            </w:tcBorders>
            <w:shd w:val="clear" w:color="auto" w:fill="auto"/>
            <w:tcMar>
              <w:top w:w="0" w:type="dxa"/>
              <w:left w:w="108" w:type="dxa"/>
              <w:bottom w:w="0" w:type="dxa"/>
              <w:right w:w="108" w:type="dxa"/>
            </w:tcMar>
            <w:hideMark/>
          </w:tcPr>
          <w:p w14:paraId="1E77F30B"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AB39E5F"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7CF9740" w14:textId="77777777" w:rsidR="006937F0" w:rsidRPr="006937F0" w:rsidRDefault="006937F0" w:rsidP="006937F0">
            <w:pPr>
              <w:spacing w:after="0" w:line="360" w:lineRule="auto"/>
              <w:jc w:val="both"/>
              <w:rPr>
                <w:rFonts w:eastAsia="Times New Roman" w:cs="Times New Roman"/>
                <w:szCs w:val="24"/>
                <w:lang w:eastAsia="es-CO"/>
              </w:rPr>
            </w:pPr>
            <w:r w:rsidRPr="006937F0">
              <w:rPr>
                <w:rFonts w:eastAsia="Times New Roman" w:cs="Times New Roman"/>
                <w:szCs w:val="24"/>
                <w:lang w:eastAsia="es-CO"/>
              </w:rPr>
              <w:t> </w:t>
            </w:r>
          </w:p>
        </w:tc>
        <w:tc>
          <w:tcPr>
            <w:tcW w:w="7222" w:type="dxa"/>
            <w:tcBorders>
              <w:top w:val="nil"/>
              <w:left w:val="nil"/>
              <w:bottom w:val="nil"/>
              <w:right w:val="nil"/>
            </w:tcBorders>
            <w:shd w:val="clear" w:color="auto" w:fill="auto"/>
            <w:tcMar>
              <w:top w:w="0" w:type="dxa"/>
              <w:left w:w="108" w:type="dxa"/>
              <w:bottom w:w="0" w:type="dxa"/>
              <w:right w:w="108" w:type="dxa"/>
            </w:tcMar>
            <w:hideMark/>
          </w:tcPr>
          <w:p w14:paraId="51EA4C17" w14:textId="77777777" w:rsidR="006937F0" w:rsidRPr="006937F0" w:rsidRDefault="006937F0" w:rsidP="006937F0">
            <w:pPr>
              <w:spacing w:after="0" w:line="360" w:lineRule="auto"/>
              <w:jc w:val="both"/>
              <w:rPr>
                <w:rFonts w:eastAsia="Times New Roman" w:cs="Times New Roman"/>
                <w:szCs w:val="24"/>
                <w:highlight w:val="cyan"/>
                <w:lang w:eastAsia="es-CO"/>
              </w:rPr>
            </w:pPr>
            <w:hyperlink r:id="rId5" w:tooltip="Estatuto Tributario CETA" w:history="1">
              <w:r w:rsidRPr="006937F0">
                <w:rPr>
                  <w:rFonts w:eastAsia="Times New Roman" w:cs="Times New Roman"/>
                  <w:color w:val="0089E1"/>
                  <w:szCs w:val="24"/>
                  <w:highlight w:val="cyan"/>
                  <w:lang w:eastAsia="es-CO"/>
                </w:rPr>
                <w:t>Artículo 616-1</w:t>
              </w:r>
            </w:hyperlink>
            <w:r w:rsidRPr="006937F0">
              <w:rPr>
                <w:rFonts w:eastAsia="Times New Roman" w:cs="Times New Roman"/>
                <w:szCs w:val="24"/>
                <w:highlight w:val="cyan"/>
                <w:lang w:eastAsia="es-CO"/>
              </w:rPr>
              <w:t> del Estatuto Tributario</w:t>
            </w:r>
          </w:p>
          <w:p w14:paraId="2475E008" w14:textId="77777777" w:rsidR="006937F0" w:rsidRPr="006937F0" w:rsidRDefault="006937F0" w:rsidP="006937F0">
            <w:pPr>
              <w:spacing w:after="0" w:line="360" w:lineRule="auto"/>
              <w:jc w:val="both"/>
              <w:rPr>
                <w:rFonts w:eastAsia="Times New Roman" w:cs="Times New Roman"/>
                <w:szCs w:val="24"/>
                <w:highlight w:val="cyan"/>
                <w:lang w:eastAsia="es-CO"/>
              </w:rPr>
            </w:pPr>
            <w:r w:rsidRPr="006937F0">
              <w:rPr>
                <w:rFonts w:eastAsia="Times New Roman" w:cs="Times New Roman"/>
                <w:szCs w:val="24"/>
                <w:highlight w:val="cyan"/>
                <w:lang w:eastAsia="es-CO"/>
              </w:rPr>
              <w:t>Artículo 1.6.1.4.12. del Decreto 1625 de 2016</w:t>
            </w:r>
          </w:p>
          <w:p w14:paraId="592045EE" w14:textId="77777777" w:rsidR="006937F0" w:rsidRPr="006937F0" w:rsidRDefault="006937F0" w:rsidP="006937F0">
            <w:pPr>
              <w:spacing w:after="0" w:line="360" w:lineRule="auto"/>
              <w:jc w:val="both"/>
              <w:rPr>
                <w:rFonts w:eastAsia="Times New Roman" w:cs="Times New Roman"/>
                <w:szCs w:val="24"/>
                <w:highlight w:val="cyan"/>
                <w:lang w:eastAsia="es-CO"/>
              </w:rPr>
            </w:pPr>
            <w:r w:rsidRPr="006937F0">
              <w:rPr>
                <w:rFonts w:eastAsia="Times New Roman" w:cs="Times New Roman"/>
                <w:szCs w:val="24"/>
                <w:highlight w:val="cyan"/>
                <w:lang w:eastAsia="es-CO"/>
              </w:rPr>
              <w:t>Resolución DIAN No. 000167 de 2021</w:t>
            </w:r>
          </w:p>
        </w:tc>
      </w:tr>
    </w:tbl>
    <w:p w14:paraId="7B99AE79"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51C74A4C"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657A26A4"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Cordial saludo,</w:t>
      </w:r>
    </w:p>
    <w:p w14:paraId="1A294409"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3C23DAAC"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688C450"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07E00403"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Mediante el radicado de la referencia, el peticionario efectúa unas preguntas relacionadas con el documento soporte en adquisiciones efectuadas a sujetos no obligados a expedir factura de venta o documento equivalente, así:</w:t>
      </w:r>
    </w:p>
    <w:p w14:paraId="38069D7D"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70D4994D" w14:textId="77777777" w:rsidR="006937F0" w:rsidRPr="006937F0" w:rsidRDefault="006937F0" w:rsidP="006937F0">
      <w:pPr>
        <w:spacing w:after="0" w:line="360" w:lineRule="auto"/>
        <w:ind w:left="284"/>
        <w:jc w:val="both"/>
        <w:rPr>
          <w:rFonts w:eastAsia="Times New Roman" w:cs="Times New Roman"/>
          <w:b/>
          <w:bCs/>
          <w:color w:val="000000"/>
          <w:szCs w:val="24"/>
          <w:highlight w:val="cyan"/>
          <w:lang w:eastAsia="es-CO"/>
        </w:rPr>
      </w:pPr>
      <w:r w:rsidRPr="006937F0">
        <w:rPr>
          <w:rFonts w:eastAsia="Times New Roman" w:cs="Times New Roman"/>
          <w:b/>
          <w:bCs/>
          <w:i/>
          <w:iCs/>
          <w:color w:val="000000"/>
          <w:szCs w:val="24"/>
          <w:highlight w:val="cyan"/>
          <w:lang w:eastAsia="es-CO"/>
        </w:rPr>
        <w:t>1. “¿Qué debe entenderse por la expresión “En el momento en que se lleve a cabo cada una de las operaciones”?</w:t>
      </w:r>
    </w:p>
    <w:p w14:paraId="270A1776" w14:textId="77777777" w:rsidR="006937F0" w:rsidRPr="006937F0" w:rsidRDefault="006937F0" w:rsidP="006937F0">
      <w:pPr>
        <w:spacing w:after="0" w:line="360" w:lineRule="auto"/>
        <w:ind w:left="284"/>
        <w:jc w:val="both"/>
        <w:rPr>
          <w:rFonts w:eastAsia="Times New Roman" w:cs="Times New Roman"/>
          <w:b/>
          <w:bCs/>
          <w:color w:val="000000"/>
          <w:szCs w:val="24"/>
          <w:highlight w:val="cyan"/>
          <w:lang w:eastAsia="es-CO"/>
        </w:rPr>
      </w:pPr>
      <w:r w:rsidRPr="006937F0">
        <w:rPr>
          <w:rFonts w:eastAsia="Times New Roman" w:cs="Times New Roman"/>
          <w:b/>
          <w:bCs/>
          <w:i/>
          <w:iCs/>
          <w:color w:val="000000"/>
          <w:szCs w:val="24"/>
          <w:highlight w:val="cyan"/>
          <w:lang w:eastAsia="es-CO"/>
        </w:rPr>
        <w:t xml:space="preserve">2. ¿La transmisión de los </w:t>
      </w:r>
      <w:proofErr w:type="gramStart"/>
      <w:r w:rsidRPr="006937F0">
        <w:rPr>
          <w:rFonts w:eastAsia="Times New Roman" w:cs="Times New Roman"/>
          <w:b/>
          <w:bCs/>
          <w:i/>
          <w:iCs/>
          <w:color w:val="000000"/>
          <w:szCs w:val="24"/>
          <w:highlight w:val="cyan"/>
          <w:lang w:eastAsia="es-CO"/>
        </w:rPr>
        <w:t>documentos soportes</w:t>
      </w:r>
      <w:proofErr w:type="gramEnd"/>
      <w:r w:rsidRPr="006937F0">
        <w:rPr>
          <w:rFonts w:eastAsia="Times New Roman" w:cs="Times New Roman"/>
          <w:b/>
          <w:bCs/>
          <w:i/>
          <w:iCs/>
          <w:color w:val="000000"/>
          <w:szCs w:val="24"/>
          <w:highlight w:val="cyan"/>
          <w:lang w:eastAsia="es-CO"/>
        </w:rPr>
        <w:t xml:space="preserve"> puede hacerse en los respectivos cierres?</w:t>
      </w:r>
    </w:p>
    <w:p w14:paraId="4932C057" w14:textId="77777777" w:rsidR="006937F0" w:rsidRPr="006937F0" w:rsidRDefault="006937F0" w:rsidP="006937F0">
      <w:pPr>
        <w:spacing w:after="0" w:line="360" w:lineRule="auto"/>
        <w:ind w:left="284"/>
        <w:jc w:val="both"/>
        <w:rPr>
          <w:rFonts w:eastAsia="Times New Roman" w:cs="Times New Roman"/>
          <w:b/>
          <w:bCs/>
          <w:color w:val="000000"/>
          <w:szCs w:val="24"/>
          <w:lang w:eastAsia="es-CO"/>
        </w:rPr>
      </w:pPr>
      <w:r w:rsidRPr="006937F0">
        <w:rPr>
          <w:rFonts w:eastAsia="Times New Roman" w:cs="Times New Roman"/>
          <w:b/>
          <w:bCs/>
          <w:i/>
          <w:iCs/>
          <w:color w:val="000000"/>
          <w:szCs w:val="24"/>
          <w:highlight w:val="cyan"/>
          <w:lang w:eastAsia="es-CO"/>
        </w:rPr>
        <w:t>3. ¿Si la fecha de la operación en el exterior no coincide con la fecha del documento soporte, dicho documento es válido para soportar costos y gastos?”</w:t>
      </w:r>
    </w:p>
    <w:p w14:paraId="3B09A578" w14:textId="77777777" w:rsidR="006937F0" w:rsidRPr="006937F0" w:rsidRDefault="006937F0" w:rsidP="006937F0">
      <w:pPr>
        <w:spacing w:after="0" w:line="360" w:lineRule="auto"/>
        <w:jc w:val="both"/>
        <w:rPr>
          <w:rFonts w:eastAsia="Times New Roman" w:cs="Times New Roman"/>
          <w:b/>
          <w:bCs/>
          <w:color w:val="000000"/>
          <w:szCs w:val="24"/>
          <w:lang w:eastAsia="es-CO"/>
        </w:rPr>
      </w:pPr>
      <w:r w:rsidRPr="006937F0">
        <w:rPr>
          <w:rFonts w:eastAsia="Times New Roman" w:cs="Times New Roman"/>
          <w:b/>
          <w:bCs/>
          <w:i/>
          <w:iCs/>
          <w:color w:val="000000"/>
          <w:szCs w:val="24"/>
          <w:lang w:eastAsia="es-CO"/>
        </w:rPr>
        <w:t> </w:t>
      </w:r>
    </w:p>
    <w:p w14:paraId="7C1DBA97"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xml:space="preserve">Sobre el particular, las consideraciones generales de este Despacho son las siguientes, no sin antes reiterar que no le corresponde pronunciarse sobre situaciones de carácter particular ni prestar </w:t>
      </w:r>
      <w:r w:rsidRPr="006937F0">
        <w:rPr>
          <w:rFonts w:eastAsia="Times New Roman" w:cs="Times New Roman"/>
          <w:color w:val="000000"/>
          <w:szCs w:val="24"/>
          <w:lang w:eastAsia="es-CO"/>
        </w:rPr>
        <w:lastRenderedPageBreak/>
        <w:t>asesoría específica, por lo que corresponderá al peticionario definir, en su caso particular, las obligaciones tributarias sustanciales y formales a las que haya lugar.</w:t>
      </w:r>
    </w:p>
    <w:p w14:paraId="1B8C366F"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6D10F24D"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Sobre el primer interrogante, este Despacho se pronunció mediante el Oficio No. 902969 del 07 de abril de 2022, el cual se anexa al presente documento para su conocimiento y fines pertinentes.</w:t>
      </w:r>
    </w:p>
    <w:p w14:paraId="3E2C53BB"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45950C2B"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En relación con su segunda inquietud, es preciso traer a colación lo establecido en los numerales 1 y 2 del parágrafo del artículo 10 de la Resolución DIAN No. 000167 de 2021, los cuales disponen los momentos en los cuales se debe transmitir para validación a la Autoridad Tributaria el citado documento soporte, así:</w:t>
      </w:r>
    </w:p>
    <w:p w14:paraId="0200A24B"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6D5ED476"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b/>
          <w:bCs/>
          <w:i/>
          <w:iCs/>
          <w:color w:val="000000"/>
          <w:szCs w:val="24"/>
          <w:lang w:eastAsia="es-CO"/>
        </w:rPr>
        <w:t>“ARTÍCULO 10. TRANSMISIÓN PARA LA VALIDACIÓN. </w:t>
      </w:r>
      <w:r w:rsidRPr="006937F0">
        <w:rPr>
          <w:rFonts w:eastAsia="Times New Roman" w:cs="Times New Roman"/>
          <w:i/>
          <w:iCs/>
          <w:color w:val="000000"/>
          <w:szCs w:val="24"/>
          <w:lang w:eastAsia="es-CO"/>
        </w:rPr>
        <w:t>La transmisión para la validación es un procedimiento que se desarrolla con posterioridad al cumplimiento de lo dispuesto en el artículo 8 de esta resolución, que consiste en transmitir uno a uno los documentos soporte en adquisiciones efectuadas a sujetos no obligados a expedir factura de venta o documento equivalente y las notas de ajuste, por el sujeto de que trata el artículo 3 de esta resolución a la Unidad Administrativa Especial Dirección de Impuestos y Aduanas Nacionales (DIAN), cumpliendo con las condiciones, términos y mecanismos técnicos y tecnológicos, de conformidad con el «Anexo técnico documento soporte en adquisiciones efectuadas a sujetos no obligados a expedir factura de venta o documento equivalente».</w:t>
      </w:r>
    </w:p>
    <w:p w14:paraId="6A099C11"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i/>
          <w:iCs/>
          <w:color w:val="000000"/>
          <w:szCs w:val="24"/>
          <w:lang w:eastAsia="es-CO"/>
        </w:rPr>
        <w:t> </w:t>
      </w:r>
    </w:p>
    <w:p w14:paraId="0DB529FF"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b/>
          <w:bCs/>
          <w:i/>
          <w:iCs/>
          <w:color w:val="000000"/>
          <w:szCs w:val="24"/>
          <w:lang w:eastAsia="es-CO"/>
        </w:rPr>
        <w:t>PARÁGRAFO.</w:t>
      </w:r>
      <w:r w:rsidRPr="006937F0">
        <w:rPr>
          <w:rFonts w:eastAsia="Times New Roman" w:cs="Times New Roman"/>
          <w:i/>
          <w:iCs/>
          <w:color w:val="000000"/>
          <w:szCs w:val="24"/>
          <w:lang w:eastAsia="es-CO"/>
        </w:rPr>
        <w:t> El documento soporte en adquisiciones efectuadas a sujetos no obligados a expedir factura de venta o documento equivalente al que se refiere el artículo 2 de la presente Resolución, deberá transmitirse para validación de la Unidad Administrativa Especial Dirección de Impuestos y Aduanas Nacionales (DIAN), así:</w:t>
      </w:r>
    </w:p>
    <w:p w14:paraId="7A18CBBD"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i/>
          <w:iCs/>
          <w:color w:val="000000"/>
          <w:szCs w:val="24"/>
          <w:lang w:eastAsia="es-CO"/>
        </w:rPr>
        <w:t> </w:t>
      </w:r>
    </w:p>
    <w:p w14:paraId="244D0307" w14:textId="77777777" w:rsidR="006937F0" w:rsidRPr="006937F0" w:rsidRDefault="006937F0" w:rsidP="006937F0">
      <w:pPr>
        <w:spacing w:after="0" w:line="360" w:lineRule="auto"/>
        <w:ind w:left="284"/>
        <w:jc w:val="both"/>
        <w:rPr>
          <w:rFonts w:eastAsia="Times New Roman" w:cs="Times New Roman"/>
          <w:b/>
          <w:bCs/>
          <w:color w:val="000000"/>
          <w:szCs w:val="24"/>
          <w:highlight w:val="cyan"/>
          <w:lang w:eastAsia="es-CO"/>
        </w:rPr>
      </w:pPr>
      <w:r w:rsidRPr="006937F0">
        <w:rPr>
          <w:rFonts w:eastAsia="Times New Roman" w:cs="Times New Roman"/>
          <w:b/>
          <w:bCs/>
          <w:i/>
          <w:iCs/>
          <w:color w:val="000000"/>
          <w:szCs w:val="24"/>
          <w:highlight w:val="cyan"/>
          <w:lang w:eastAsia="es-CO"/>
        </w:rPr>
        <w:t>1. </w:t>
      </w:r>
      <w:r w:rsidRPr="006937F0">
        <w:rPr>
          <w:rFonts w:eastAsia="Times New Roman" w:cs="Times New Roman"/>
          <w:b/>
          <w:bCs/>
          <w:i/>
          <w:iCs/>
          <w:color w:val="000000"/>
          <w:szCs w:val="24"/>
          <w:highlight w:val="cyan"/>
          <w:u w:val="single"/>
          <w:lang w:eastAsia="es-CO"/>
        </w:rPr>
        <w:t>En el momento en que se lleve a cabo cada una de las operaciones en las que se adquieran bienes y/o servicios a sujetos no obligados a expedir factura o documento equivalente, o</w:t>
      </w:r>
    </w:p>
    <w:p w14:paraId="4E99ECDE" w14:textId="77777777" w:rsidR="00680A47" w:rsidRPr="00680A47" w:rsidRDefault="00680A47" w:rsidP="006937F0">
      <w:pPr>
        <w:spacing w:after="0" w:line="360" w:lineRule="auto"/>
        <w:ind w:left="284"/>
        <w:jc w:val="both"/>
        <w:rPr>
          <w:rFonts w:eastAsia="Times New Roman" w:cs="Times New Roman"/>
          <w:b/>
          <w:bCs/>
          <w:i/>
          <w:iCs/>
          <w:color w:val="000000"/>
          <w:szCs w:val="24"/>
          <w:highlight w:val="cyan"/>
          <w:lang w:eastAsia="es-CO"/>
        </w:rPr>
      </w:pPr>
    </w:p>
    <w:p w14:paraId="3979F6A4" w14:textId="693FC5F3" w:rsidR="006937F0" w:rsidRPr="006937F0" w:rsidRDefault="006937F0" w:rsidP="006937F0">
      <w:pPr>
        <w:spacing w:after="0" w:line="360" w:lineRule="auto"/>
        <w:ind w:left="284"/>
        <w:jc w:val="both"/>
        <w:rPr>
          <w:rFonts w:eastAsia="Times New Roman" w:cs="Times New Roman"/>
          <w:b/>
          <w:bCs/>
          <w:color w:val="000000"/>
          <w:szCs w:val="24"/>
          <w:lang w:eastAsia="es-CO"/>
        </w:rPr>
      </w:pPr>
      <w:r w:rsidRPr="006937F0">
        <w:rPr>
          <w:rFonts w:eastAsia="Times New Roman" w:cs="Times New Roman"/>
          <w:b/>
          <w:bCs/>
          <w:i/>
          <w:iCs/>
          <w:color w:val="000000"/>
          <w:szCs w:val="24"/>
          <w:highlight w:val="cyan"/>
          <w:lang w:eastAsia="es-CO"/>
        </w:rPr>
        <w:t>2. </w:t>
      </w:r>
      <w:r w:rsidRPr="006937F0">
        <w:rPr>
          <w:rFonts w:eastAsia="Times New Roman" w:cs="Times New Roman"/>
          <w:b/>
          <w:bCs/>
          <w:i/>
          <w:iCs/>
          <w:color w:val="000000"/>
          <w:szCs w:val="24"/>
          <w:highlight w:val="cyan"/>
          <w:u w:val="single"/>
          <w:lang w:eastAsia="es-CO"/>
        </w:rPr>
        <w:t>A más tardar el último día hábil de la semana en la que se llevaron a cabo las operaciones acumuladas semanalmente que se realicen con un mismo proveedor en las que se adquieran bienes y/o servicios con sujetos no obligados a expedir factura o documento equivalente</w:t>
      </w:r>
      <w:r w:rsidRPr="006937F0">
        <w:rPr>
          <w:rFonts w:eastAsia="Times New Roman" w:cs="Times New Roman"/>
          <w:b/>
          <w:bCs/>
          <w:i/>
          <w:iCs/>
          <w:color w:val="000000"/>
          <w:szCs w:val="24"/>
          <w:highlight w:val="cyan"/>
          <w:shd w:val="clear" w:color="auto" w:fill="FCF9F6"/>
          <w:lang w:eastAsia="es-CO"/>
        </w:rPr>
        <w:t>”. </w:t>
      </w:r>
      <w:r w:rsidRPr="006937F0">
        <w:rPr>
          <w:rFonts w:eastAsia="Times New Roman" w:cs="Times New Roman"/>
          <w:b/>
          <w:bCs/>
          <w:color w:val="000000"/>
          <w:szCs w:val="24"/>
          <w:highlight w:val="cyan"/>
          <w:lang w:eastAsia="es-CO"/>
        </w:rPr>
        <w:t>(Subrayado fuera de texto).</w:t>
      </w:r>
    </w:p>
    <w:p w14:paraId="16F7B5EA"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380A9EA9"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Por lo que, la transmisión se deberá llevar a cabo conforme con lo señalado en el artículo 10 de la Resolución DIAN No. 000167 de 2021. Nótese que la norma no supedita la transmisión del mencionado documento soporte a cierres contables o de período. Así las cosas, no le es posible al intérprete desatender el tenor literal de la norma so pretexto de extender la aplicación de esta a supuestos no contemplados en la misma.</w:t>
      </w:r>
    </w:p>
    <w:p w14:paraId="0A758C45"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5A92E27F"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lastRenderedPageBreak/>
        <w:t>Respecto a su tercera pregunta, el documento soporte en adquisiciones efectuadas a sujetos no obligados a expedir factura de venta o documento equivalente deberá cumplir con los requisitos previstos en el artículo 1.6.1.4.12. del Decreto 1625 de 2016, en concordancia con el artículo 4 de la Resolución DIAN No. 000167 de 2021, así:</w:t>
      </w:r>
    </w:p>
    <w:p w14:paraId="5007FB27"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5D3AD8EA"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b/>
          <w:bCs/>
          <w:i/>
          <w:iCs/>
          <w:color w:val="000000"/>
          <w:szCs w:val="24"/>
          <w:lang w:eastAsia="es-CO"/>
        </w:rPr>
        <w:t>“ARTÍCULO 1.6.1.4.12. DOCUMENTO SOPORTE EN ADQUISICIONES EFECTUADAS A SUJETOS NO OBLIGADOS A EXPEDIR FACTURA DE VENTA O DOCUMENTO EQUIVALENTE. </w:t>
      </w:r>
      <w:r w:rsidRPr="006937F0">
        <w:rPr>
          <w:rFonts w:eastAsia="Times New Roman" w:cs="Times New Roman"/>
          <w:i/>
          <w:iCs/>
          <w:color w:val="000000"/>
          <w:szCs w:val="24"/>
          <w:lang w:eastAsia="es-CO"/>
        </w:rPr>
        <w:t>De conformidad con lo establecido en el </w:t>
      </w:r>
      <w:hyperlink r:id="rId6" w:tooltip="Estatuto Tributario CETA" w:history="1">
        <w:r w:rsidRPr="006937F0">
          <w:rPr>
            <w:rFonts w:eastAsia="Times New Roman" w:cs="Times New Roman"/>
            <w:i/>
            <w:iCs/>
            <w:color w:val="0089E1"/>
            <w:szCs w:val="24"/>
            <w:lang w:eastAsia="es-CO"/>
          </w:rPr>
          <w:t>artículo 771-2</w:t>
        </w:r>
      </w:hyperlink>
      <w:r w:rsidRPr="006937F0">
        <w:rPr>
          <w:rFonts w:eastAsia="Times New Roman" w:cs="Times New Roman"/>
          <w:i/>
          <w:iCs/>
          <w:color w:val="000000"/>
          <w:szCs w:val="24"/>
          <w:lang w:eastAsia="es-CO"/>
        </w:rPr>
        <w:t> del Estatuto Tributario, cuando se realicen transacciones con sujetos no obligados a expedir factura de venta y/o documento equivalente, el documento soporte que pruebe la respectiva transacción que da lugar a costos, deducciones, o impuestos descontables, deberá cumplir los siguientes requisitos y condiciones, y ser generado de forma física por parte del adquiriente del bien y/o servicio, salvo cuando se trate de importación de bienes:</w:t>
      </w:r>
    </w:p>
    <w:p w14:paraId="35A0695E"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i/>
          <w:iCs/>
          <w:color w:val="000000"/>
          <w:szCs w:val="24"/>
          <w:lang w:eastAsia="es-CO"/>
        </w:rPr>
        <w:t>(…)</w:t>
      </w:r>
    </w:p>
    <w:p w14:paraId="65F70540" w14:textId="77777777" w:rsidR="006937F0" w:rsidRPr="006937F0" w:rsidRDefault="006937F0" w:rsidP="006937F0">
      <w:pPr>
        <w:spacing w:after="0" w:line="360" w:lineRule="auto"/>
        <w:ind w:left="284"/>
        <w:jc w:val="both"/>
        <w:rPr>
          <w:rFonts w:eastAsia="Times New Roman" w:cs="Times New Roman"/>
          <w:color w:val="000000"/>
          <w:szCs w:val="24"/>
          <w:lang w:eastAsia="es-CO"/>
        </w:rPr>
      </w:pPr>
      <w:r w:rsidRPr="006937F0">
        <w:rPr>
          <w:rFonts w:eastAsia="Times New Roman" w:cs="Times New Roman"/>
          <w:i/>
          <w:iCs/>
          <w:color w:val="000000"/>
          <w:szCs w:val="24"/>
          <w:lang w:eastAsia="es-CO"/>
        </w:rPr>
        <w:t>2. </w:t>
      </w:r>
      <w:r w:rsidRPr="006937F0">
        <w:rPr>
          <w:rFonts w:eastAsia="Times New Roman" w:cs="Times New Roman"/>
          <w:i/>
          <w:iCs/>
          <w:color w:val="000000"/>
          <w:szCs w:val="24"/>
          <w:u w:val="single"/>
          <w:lang w:eastAsia="es-CO"/>
        </w:rPr>
        <w:t>Tener la fecha de la operación que debe corresponder a la fecha de generación del</w:t>
      </w:r>
      <w:r w:rsidRPr="006937F0">
        <w:rPr>
          <w:rFonts w:eastAsia="Times New Roman" w:cs="Times New Roman"/>
          <w:i/>
          <w:iCs/>
          <w:color w:val="000000"/>
          <w:szCs w:val="24"/>
          <w:lang w:eastAsia="es-CO"/>
        </w:rPr>
        <w:t> </w:t>
      </w:r>
      <w:r w:rsidRPr="006937F0">
        <w:rPr>
          <w:rFonts w:eastAsia="Times New Roman" w:cs="Times New Roman"/>
          <w:i/>
          <w:iCs/>
          <w:color w:val="000000"/>
          <w:szCs w:val="24"/>
          <w:u w:val="single"/>
          <w:lang w:eastAsia="es-CO"/>
        </w:rPr>
        <w:t>documento</w:t>
      </w:r>
      <w:r w:rsidRPr="006937F0">
        <w:rPr>
          <w:rFonts w:eastAsia="Times New Roman" w:cs="Times New Roman"/>
          <w:i/>
          <w:iCs/>
          <w:color w:val="000000"/>
          <w:szCs w:val="24"/>
          <w:shd w:val="clear" w:color="auto" w:fill="FCF9F6"/>
          <w:lang w:eastAsia="es-CO"/>
        </w:rPr>
        <w:t>”.</w:t>
      </w:r>
      <w:r w:rsidRPr="006937F0">
        <w:rPr>
          <w:rFonts w:eastAsia="Times New Roman" w:cs="Times New Roman"/>
          <w:i/>
          <w:iCs/>
          <w:color w:val="000000"/>
          <w:szCs w:val="24"/>
          <w:lang w:eastAsia="es-CO"/>
        </w:rPr>
        <w:t> </w:t>
      </w:r>
      <w:r w:rsidRPr="006937F0">
        <w:rPr>
          <w:rFonts w:eastAsia="Times New Roman" w:cs="Times New Roman"/>
          <w:color w:val="000000"/>
          <w:szCs w:val="24"/>
          <w:lang w:eastAsia="es-CO"/>
        </w:rPr>
        <w:t>(Subrayado fuera de texto).</w:t>
      </w:r>
    </w:p>
    <w:p w14:paraId="50915ABD"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7352F37A"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Lo anterior, sin perjuicio del análisis que se deberá realizar en cada caso particular de las circunstancias fácticas y jurídicas de la operación.</w:t>
      </w:r>
    </w:p>
    <w:p w14:paraId="505381F6"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2EAD90E9"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Finalmente, respecto al documento idóneo para soportar las operaciones económicas celebradas con prestadores de servicios en el exterior, esta Dependencia se pronunció mediante el Oficio No. 903652 de 2020, el cual se anexa para su conocimiento.</w:t>
      </w:r>
    </w:p>
    <w:p w14:paraId="539D0C9D"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6DEBBFB6"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 </w:t>
      </w:r>
    </w:p>
    <w:p w14:paraId="08269CBC"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Atentamente,</w:t>
      </w:r>
    </w:p>
    <w:p w14:paraId="4C579643"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b/>
          <w:bCs/>
          <w:color w:val="000000"/>
          <w:szCs w:val="24"/>
          <w:lang w:eastAsia="es-CO"/>
        </w:rPr>
        <w:t> </w:t>
      </w:r>
    </w:p>
    <w:p w14:paraId="572C6A7F"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b/>
          <w:bCs/>
          <w:color w:val="000000"/>
          <w:szCs w:val="24"/>
          <w:lang w:eastAsia="es-CO"/>
        </w:rPr>
        <w:t> </w:t>
      </w:r>
    </w:p>
    <w:p w14:paraId="5DFE6207"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b/>
          <w:bCs/>
          <w:color w:val="000000"/>
          <w:szCs w:val="24"/>
          <w:lang w:eastAsia="es-CO"/>
        </w:rPr>
        <w:t>NICOLÁS BERNAL ABELLA</w:t>
      </w:r>
    </w:p>
    <w:p w14:paraId="030382DC"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Subdirector de Normativa y Doctrina (E)</w:t>
      </w:r>
    </w:p>
    <w:p w14:paraId="38BFDD02" w14:textId="77777777"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Dirección de Gestión Jurídica</w:t>
      </w:r>
    </w:p>
    <w:p w14:paraId="338E5A37" w14:textId="49D22271" w:rsidR="006937F0" w:rsidRPr="006937F0" w:rsidRDefault="006937F0" w:rsidP="006937F0">
      <w:pPr>
        <w:spacing w:after="0" w:line="360" w:lineRule="auto"/>
        <w:jc w:val="both"/>
        <w:rPr>
          <w:rFonts w:eastAsia="Times New Roman" w:cs="Times New Roman"/>
          <w:color w:val="000000"/>
          <w:szCs w:val="24"/>
          <w:lang w:eastAsia="es-CO"/>
        </w:rPr>
      </w:pPr>
      <w:r w:rsidRPr="006937F0">
        <w:rPr>
          <w:rFonts w:eastAsia="Times New Roman" w:cs="Times New Roman"/>
          <w:color w:val="000000"/>
          <w:szCs w:val="24"/>
          <w:lang w:eastAsia="es-CO"/>
        </w:rPr>
        <w:t>UAE-Dirección de Impuestos y Aduanas Nacionales</w:t>
      </w:r>
    </w:p>
    <w:p w14:paraId="1D8027D6" w14:textId="58850DF7" w:rsidR="006937F0" w:rsidRPr="006937F0" w:rsidRDefault="006937F0" w:rsidP="006937F0">
      <w:pPr>
        <w:pBdr>
          <w:bottom w:val="single" w:sz="12" w:space="1" w:color="auto"/>
        </w:pBdr>
        <w:spacing w:after="0" w:line="360" w:lineRule="auto"/>
        <w:jc w:val="both"/>
        <w:rPr>
          <w:rFonts w:eastAsia="Times New Roman" w:cs="Times New Roman"/>
          <w:color w:val="000000"/>
          <w:szCs w:val="24"/>
          <w:lang w:eastAsia="es-CO"/>
        </w:rPr>
      </w:pPr>
    </w:p>
    <w:p w14:paraId="031A4934" w14:textId="77777777" w:rsidR="006937F0" w:rsidRDefault="006937F0" w:rsidP="00407FF2">
      <w:pPr>
        <w:pStyle w:val="Sinespaciado"/>
        <w:shd w:val="clear" w:color="auto" w:fill="FFFFFF"/>
        <w:spacing w:before="0" w:beforeAutospacing="0" w:after="150" w:afterAutospacing="0" w:line="360" w:lineRule="auto"/>
        <w:rPr>
          <w:b/>
          <w:bCs/>
          <w:color w:val="000000"/>
          <w:highlight w:val="yellow"/>
        </w:rPr>
      </w:pPr>
    </w:p>
    <w:p w14:paraId="69BA7EEB" w14:textId="6AD26029" w:rsidR="006937F0" w:rsidRPr="006937F0" w:rsidRDefault="006937F0" w:rsidP="006937F0">
      <w:pPr>
        <w:pStyle w:val="Sinespaciado"/>
        <w:shd w:val="clear" w:color="auto" w:fill="FFFFFF"/>
        <w:spacing w:before="0" w:beforeAutospacing="0" w:after="150" w:afterAutospacing="0" w:line="360" w:lineRule="auto"/>
        <w:jc w:val="center"/>
        <w:rPr>
          <w:color w:val="555555"/>
          <w:highlight w:val="yellow"/>
        </w:rPr>
      </w:pPr>
      <w:r w:rsidRPr="006937F0">
        <w:rPr>
          <w:b/>
          <w:bCs/>
          <w:color w:val="000000"/>
          <w:highlight w:val="yellow"/>
        </w:rPr>
        <w:t xml:space="preserve">CONCEPTO </w:t>
      </w:r>
      <w:r w:rsidRPr="006937F0">
        <w:rPr>
          <w:b/>
          <w:bCs/>
          <w:color w:val="000000"/>
          <w:highlight w:val="yellow"/>
        </w:rPr>
        <w:t>(903652) -</w:t>
      </w:r>
      <w:r w:rsidRPr="006937F0">
        <w:rPr>
          <w:b/>
          <w:bCs/>
          <w:color w:val="000000"/>
          <w:highlight w:val="yellow"/>
        </w:rPr>
        <w:t>952 DEL 31 DE JULIO DE 2020</w:t>
      </w:r>
    </w:p>
    <w:p w14:paraId="32A3DBA2" w14:textId="77777777" w:rsidR="006937F0" w:rsidRPr="006937F0" w:rsidRDefault="006937F0" w:rsidP="006937F0">
      <w:pPr>
        <w:pStyle w:val="Sinespaciado"/>
        <w:shd w:val="clear" w:color="auto" w:fill="FFFFFF"/>
        <w:spacing w:before="0" w:beforeAutospacing="0" w:after="150" w:afterAutospacing="0" w:line="360" w:lineRule="auto"/>
        <w:jc w:val="center"/>
        <w:rPr>
          <w:color w:val="555555"/>
        </w:rPr>
      </w:pPr>
      <w:r w:rsidRPr="006937F0">
        <w:rPr>
          <w:b/>
          <w:bCs/>
          <w:color w:val="000000"/>
          <w:highlight w:val="yellow"/>
        </w:rPr>
        <w:t>DIRECCIÓN DE IMPUESTOS Y ADUANAS NACIONALES</w:t>
      </w:r>
    </w:p>
    <w:p w14:paraId="532D9CA8"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17DFCBD3"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Bogotá, D.C.</w:t>
      </w:r>
    </w:p>
    <w:p w14:paraId="7F9B1B9D"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lastRenderedPageBreak/>
        <w:t> </w:t>
      </w:r>
    </w:p>
    <w:p w14:paraId="7C7F5E8D"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b/>
          <w:bCs/>
          <w:color w:val="000000"/>
        </w:rPr>
        <w:t>Tema                       </w:t>
      </w:r>
      <w:r w:rsidRPr="006937F0">
        <w:rPr>
          <w:color w:val="000000"/>
        </w:rPr>
        <w:t>Factura electrónica</w:t>
      </w:r>
    </w:p>
    <w:p w14:paraId="3D5B45A1" w14:textId="77777777" w:rsidR="006937F0" w:rsidRPr="006937F0" w:rsidRDefault="006937F0" w:rsidP="006937F0">
      <w:pPr>
        <w:pStyle w:val="Sinespaciado"/>
        <w:shd w:val="clear" w:color="auto" w:fill="FFFFFF"/>
        <w:spacing w:before="0" w:beforeAutospacing="0" w:after="150" w:afterAutospacing="0" w:line="360" w:lineRule="auto"/>
        <w:ind w:left="2835" w:hanging="2832"/>
        <w:jc w:val="both"/>
        <w:rPr>
          <w:color w:val="555555"/>
        </w:rPr>
      </w:pPr>
      <w:r w:rsidRPr="006937F0">
        <w:rPr>
          <w:b/>
          <w:bCs/>
          <w:color w:val="000000"/>
        </w:rPr>
        <w:t>Descriptor                </w:t>
      </w:r>
      <w:r w:rsidRPr="006937F0">
        <w:rPr>
          <w:color w:val="000000"/>
        </w:rPr>
        <w:t>Documento soporte en adquisiciones con no obligados</w:t>
      </w:r>
    </w:p>
    <w:p w14:paraId="718AF572"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b/>
          <w:bCs/>
          <w:color w:val="000000"/>
        </w:rPr>
        <w:t>Fuentes formales     </w:t>
      </w:r>
      <w:r w:rsidRPr="006937F0">
        <w:rPr>
          <w:color w:val="000000"/>
        </w:rPr>
        <w:t>Artículos 437 y 771-2 del Estatuto Tributario</w:t>
      </w:r>
    </w:p>
    <w:p w14:paraId="7AF70CF3" w14:textId="77777777" w:rsidR="006937F0" w:rsidRPr="006937F0" w:rsidRDefault="006937F0" w:rsidP="006937F0">
      <w:pPr>
        <w:pStyle w:val="Sinespaciado"/>
        <w:shd w:val="clear" w:color="auto" w:fill="FFFFFF"/>
        <w:spacing w:before="0" w:beforeAutospacing="0" w:after="150" w:afterAutospacing="0" w:line="360" w:lineRule="auto"/>
        <w:ind w:left="2130" w:firstLine="708"/>
        <w:jc w:val="both"/>
        <w:rPr>
          <w:color w:val="555555"/>
        </w:rPr>
      </w:pPr>
      <w:r w:rsidRPr="006937F0">
        <w:rPr>
          <w:color w:val="000000"/>
        </w:rPr>
        <w:t>Artículo 4 de la Ley 2010 de 2019</w:t>
      </w:r>
    </w:p>
    <w:p w14:paraId="72B8ADE7" w14:textId="77777777" w:rsidR="006937F0" w:rsidRPr="006937F0" w:rsidRDefault="006937F0" w:rsidP="006937F0">
      <w:pPr>
        <w:pStyle w:val="Sinespaciado"/>
        <w:shd w:val="clear" w:color="auto" w:fill="FFFFFF"/>
        <w:spacing w:before="0" w:beforeAutospacing="0" w:after="150" w:afterAutospacing="0" w:line="360" w:lineRule="auto"/>
        <w:ind w:left="2130" w:firstLine="708"/>
        <w:jc w:val="both"/>
        <w:rPr>
          <w:color w:val="555555"/>
        </w:rPr>
      </w:pPr>
      <w:r w:rsidRPr="006937F0">
        <w:rPr>
          <w:color w:val="000000"/>
        </w:rPr>
        <w:t>Artículo 1.6.1.4.12 del Decreto 1625 de 2016</w:t>
      </w:r>
    </w:p>
    <w:p w14:paraId="31F458DA" w14:textId="77777777" w:rsidR="006937F0" w:rsidRPr="006937F0" w:rsidRDefault="006937F0" w:rsidP="006937F0">
      <w:pPr>
        <w:pStyle w:val="Sinespaciado"/>
        <w:shd w:val="clear" w:color="auto" w:fill="FFFFFF"/>
        <w:spacing w:before="0" w:beforeAutospacing="0" w:after="150" w:afterAutospacing="0" w:line="360" w:lineRule="auto"/>
        <w:ind w:left="2130" w:firstLine="708"/>
        <w:jc w:val="both"/>
        <w:rPr>
          <w:color w:val="555555"/>
        </w:rPr>
      </w:pPr>
      <w:r w:rsidRPr="006937F0">
        <w:rPr>
          <w:color w:val="000000"/>
        </w:rPr>
        <w:t>Artículo 55 de la Resolución 42 de 2020</w:t>
      </w:r>
    </w:p>
    <w:p w14:paraId="06016643"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7EBCBB41"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9689F2E"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2DAF7736"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Mediante el radicado de la referencia, el peticionario consulta si, con ocasión de la expedición de la Resolución 42 de 2020, la factura emitida en el exterior por parte del prestador de servicios extranjero es soporte de deducción de costos y gastos, o si se debe emitir documento soporte en adquisiciones efectuadas a sujetos no obligados a expedir factura de venta o documento equivalente.</w:t>
      </w:r>
    </w:p>
    <w:p w14:paraId="3E8448AB" w14:textId="4CBD2852"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Sobre el particular, las consideraciones de este Despacho son las siguientes:</w:t>
      </w:r>
    </w:p>
    <w:p w14:paraId="2728B4E4" w14:textId="6CECB803"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El artículo 771-2 del Estatuto Tributario contempla que, en términos generales, la procedencia de costos y deducciones para efectos del impuesto sobre la renta e impuestos descontables en el impuesto sobre las ventas requiere de su soporte mediante facturas, documentos equivalentes y/o la expedición de un documento soporte.</w:t>
      </w:r>
    </w:p>
    <w:p w14:paraId="5FB05F86"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0C4D8993"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En consecuencia, para efectos de soportar las operaciones económicas realizadas con prestadores de servicios desde el exterior, el artículo 1.6.1.4.12 del Decreto 1625 de 2016 (sustituido por el Decreto 358 de 2020) dispone:</w:t>
      </w:r>
    </w:p>
    <w:p w14:paraId="15A3837A"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03AFEC4A" w14:textId="7DECC2FF" w:rsidR="006937F0" w:rsidRPr="006937F0" w:rsidRDefault="006937F0" w:rsidP="006937F0">
      <w:pPr>
        <w:pStyle w:val="Sinespaciado"/>
        <w:shd w:val="clear" w:color="auto" w:fill="FFFFFF"/>
        <w:spacing w:before="0" w:beforeAutospacing="0" w:after="150" w:afterAutospacing="0" w:line="360" w:lineRule="auto"/>
        <w:ind w:left="705"/>
        <w:jc w:val="both"/>
        <w:rPr>
          <w:color w:val="555555"/>
        </w:rPr>
      </w:pPr>
      <w:r w:rsidRPr="006937F0">
        <w:rPr>
          <w:rStyle w:val="cuerpodeltexto495ptonegrita"/>
          <w:b/>
          <w:bCs/>
          <w:i/>
          <w:iCs/>
          <w:color w:val="000000"/>
        </w:rPr>
        <w:t>“Artículo 1.6.1.4.12. Documento soporte en adquisiciones efectuadas a sujetos no obligados a expedir factura de venta o documento equivalente</w:t>
      </w:r>
      <w:r w:rsidRPr="006937F0">
        <w:rPr>
          <w:i/>
          <w:iCs/>
          <w:color w:val="000000"/>
        </w:rPr>
        <w:t xml:space="preserve">. De conformidad con lo establecido en el artículo 771-2 del Estatuto Tributario, cuando se realicen transacciones con sujetos no obligados a expedir factura de venta y/o documento equivalente, el </w:t>
      </w:r>
      <w:r w:rsidRPr="006937F0">
        <w:rPr>
          <w:i/>
          <w:iCs/>
          <w:color w:val="000000"/>
        </w:rPr>
        <w:lastRenderedPageBreak/>
        <w:t>documento soporte que pruebe la respectiva transacción que da lugar a costos, deducciones, o impuestos descontables, deberá cumplir los siguientes requisitos y condiciones, y ser generado de forma física por parte del adquiriente del bien y/o servicio, salvo cuando se trate de importación de bienes:</w:t>
      </w:r>
    </w:p>
    <w:p w14:paraId="0F088CBB"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Estar denominado expresamente como documento soporte en adquisiciones efectuadas a no obligados a facturar.</w:t>
      </w:r>
    </w:p>
    <w:p w14:paraId="560B9E1A"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Tener la fecha de la operación que debe corresponder a la fecha de generación del documento.</w:t>
      </w:r>
    </w:p>
    <w:p w14:paraId="16BD1FD1"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Contener los apellidos y nombre o razón social y Número de Identificación Tributaria (NIT) del vendedor o de quien presta el servicio. </w:t>
      </w:r>
      <w:r w:rsidRPr="006937F0">
        <w:rPr>
          <w:rStyle w:val="cuerpodeltexto4"/>
          <w:i/>
          <w:iCs/>
          <w:color w:val="000000"/>
          <w:u w:val="single"/>
        </w:rPr>
        <w:t>Tratándose de contratos suscritos con los no residentes fiscales en Colombia no inscritos en el Registro Único Tributario RUT, el requisito del Número de Identificación Tributaria NIT, se entenderá cumplido con la identificación otorgada en el país de origen del no residente.</w:t>
      </w:r>
    </w:p>
    <w:p w14:paraId="707A5CA1"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Contener los apellidos y nombre o razón social y Número de Identificación Tributaria (NIT) del adquiriente de los bienes y/o servicios.</w:t>
      </w:r>
    </w:p>
    <w:p w14:paraId="2140862D"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Llevar el número que corresponda a un sistema de numeración consecutiva de documento soporte incluyendo el número, rango y vigencia autorizado por la Unidad Administrativa Especial Dirección de Impuestos y Aduanas Nacionales (DIAN). En relación con las especificaciones de la numeración del documento soporte, en adquisiciones efectuadas a no obligados a facturar, el adquiriente podrá indicar una numeración propia, hasta tanto la Unidad Administrativa Especial Dirección de Impuestos y Aduanas Nacionales (DIAN), ponga a disposición las citadas especificaciones a través del servicio informático electrónico.</w:t>
      </w:r>
    </w:p>
    <w:p w14:paraId="43681F39"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Tener la descripción específica del bien y/o del servicio prestado.</w:t>
      </w:r>
    </w:p>
    <w:p w14:paraId="0C82B45D" w14:textId="77777777" w:rsidR="006937F0" w:rsidRPr="006937F0" w:rsidRDefault="006937F0" w:rsidP="006937F0">
      <w:pPr>
        <w:pStyle w:val="Sinespaciado"/>
        <w:numPr>
          <w:ilvl w:val="0"/>
          <w:numId w:val="1"/>
        </w:numPr>
        <w:shd w:val="clear" w:color="auto" w:fill="FFFFFF"/>
        <w:spacing w:line="360" w:lineRule="auto"/>
        <w:ind w:left="1185"/>
        <w:jc w:val="both"/>
        <w:rPr>
          <w:color w:val="555555"/>
        </w:rPr>
      </w:pPr>
      <w:r w:rsidRPr="006937F0">
        <w:rPr>
          <w:i/>
          <w:iCs/>
          <w:color w:val="000000"/>
        </w:rPr>
        <w:t>Detallar el valor total de la operación.</w:t>
      </w:r>
    </w:p>
    <w:p w14:paraId="03FD7403" w14:textId="0585D76B"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i/>
          <w:iCs/>
          <w:color w:val="000000"/>
        </w:rPr>
        <w:t>Cuando el adquiriente sea facturador electrónico el documento de que trata el presente artículo deberá generarse en forma electrónica atendiendo las condiciones, términos, mecanismos técnicos y tecnológicos que para el efecto establezca la Unidad Administrativa Especial Dirección de Impuestos y Aduanas Nacionales (DIAN), cumpliendo además de los requisitos señalados en los numerales 1 a 7 del presente artículo los siguientes:</w:t>
      </w:r>
    </w:p>
    <w:p w14:paraId="2D584818" w14:textId="77777777" w:rsidR="006937F0" w:rsidRPr="006937F0" w:rsidRDefault="006937F0" w:rsidP="006937F0">
      <w:pPr>
        <w:pStyle w:val="Sinespaciado"/>
        <w:numPr>
          <w:ilvl w:val="0"/>
          <w:numId w:val="2"/>
        </w:numPr>
        <w:shd w:val="clear" w:color="auto" w:fill="FFFFFF"/>
        <w:spacing w:line="360" w:lineRule="auto"/>
        <w:ind w:left="1545"/>
        <w:jc w:val="both"/>
        <w:rPr>
          <w:color w:val="555555"/>
        </w:rPr>
      </w:pPr>
      <w:r w:rsidRPr="006937F0">
        <w:rPr>
          <w:i/>
          <w:iCs/>
          <w:color w:val="000000"/>
        </w:rPr>
        <w:t>Incluir la firma del emisor del documento soporte al momento de la generación, de acuerdo con las normas vigentes y con la política de firma que establezca la Unidad Administrativa Especial Dirección de Impuestos y Aduanas Nacionales (DIAN).</w:t>
      </w:r>
    </w:p>
    <w:p w14:paraId="2ED2929E" w14:textId="77777777" w:rsidR="006937F0" w:rsidRPr="006937F0" w:rsidRDefault="006937F0" w:rsidP="006937F0">
      <w:pPr>
        <w:pStyle w:val="Sinespaciado"/>
        <w:numPr>
          <w:ilvl w:val="0"/>
          <w:numId w:val="2"/>
        </w:numPr>
        <w:shd w:val="clear" w:color="auto" w:fill="FFFFFF"/>
        <w:spacing w:line="360" w:lineRule="auto"/>
        <w:ind w:left="1545"/>
        <w:jc w:val="both"/>
        <w:rPr>
          <w:color w:val="555555"/>
        </w:rPr>
      </w:pPr>
      <w:r w:rsidRPr="006937F0">
        <w:rPr>
          <w:i/>
          <w:iCs/>
          <w:color w:val="000000"/>
        </w:rPr>
        <w:t>Utilizar el formato electrónico de generación que establezca la Unidad Administrativa Especial Dirección de Impuestos y Aduanas Nacionales (DIAN).</w:t>
      </w:r>
    </w:p>
    <w:p w14:paraId="5F4F7F54" w14:textId="77777777" w:rsidR="006937F0" w:rsidRPr="006937F0" w:rsidRDefault="006937F0" w:rsidP="006937F0">
      <w:pPr>
        <w:pStyle w:val="Sinespaciado"/>
        <w:shd w:val="clear" w:color="auto" w:fill="FFFFFF"/>
        <w:spacing w:before="0" w:beforeAutospacing="0" w:after="150" w:afterAutospacing="0" w:line="360" w:lineRule="auto"/>
        <w:ind w:left="705"/>
        <w:jc w:val="both"/>
        <w:rPr>
          <w:color w:val="555555"/>
        </w:rPr>
      </w:pPr>
      <w:r w:rsidRPr="006937F0">
        <w:rPr>
          <w:color w:val="555555"/>
        </w:rPr>
        <w:lastRenderedPageBreak/>
        <w:t> </w:t>
      </w:r>
    </w:p>
    <w:p w14:paraId="07D4A1BF"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rStyle w:val="cuerpodeltexto495ptonegrita"/>
          <w:b/>
          <w:bCs/>
          <w:i/>
          <w:iCs/>
          <w:color w:val="000000"/>
        </w:rPr>
        <w:t>Parágrafo 1</w:t>
      </w:r>
      <w:r w:rsidRPr="006937F0">
        <w:rPr>
          <w:b/>
          <w:bCs/>
          <w:i/>
          <w:iCs/>
          <w:color w:val="000000"/>
        </w:rPr>
        <w:t>°</w:t>
      </w:r>
      <w:r w:rsidRPr="006937F0">
        <w:rPr>
          <w:rStyle w:val="cuerpodeltexto495ptonegrita"/>
          <w:b/>
          <w:bCs/>
          <w:i/>
          <w:iCs/>
          <w:color w:val="000000"/>
        </w:rPr>
        <w:t>. </w:t>
      </w:r>
      <w:r w:rsidRPr="006937F0">
        <w:rPr>
          <w:i/>
          <w:iCs/>
          <w:color w:val="000000"/>
        </w:rPr>
        <w:t>Para efectos de lo establecido en el presente artículo, será válido el extracto expedido por los sujetos a los que se refiere el numeral 1 del artículo 1.6.1.4.3. de este Decreto, en concordancia con el artículo 1.3.1.7.8. de este Decreto.</w:t>
      </w:r>
    </w:p>
    <w:p w14:paraId="034DC2E7" w14:textId="77777777" w:rsidR="006937F0" w:rsidRPr="006937F0" w:rsidRDefault="006937F0" w:rsidP="006937F0">
      <w:pPr>
        <w:pStyle w:val="Sinespaciado"/>
        <w:shd w:val="clear" w:color="auto" w:fill="FFFFFF"/>
        <w:spacing w:before="0" w:beforeAutospacing="0" w:after="150" w:afterAutospacing="0" w:line="360" w:lineRule="auto"/>
        <w:ind w:left="705"/>
        <w:jc w:val="both"/>
        <w:rPr>
          <w:color w:val="555555"/>
        </w:rPr>
      </w:pPr>
      <w:r w:rsidRPr="006937F0">
        <w:rPr>
          <w:color w:val="555555"/>
        </w:rPr>
        <w:t> </w:t>
      </w:r>
    </w:p>
    <w:p w14:paraId="593AD954"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i/>
          <w:iCs/>
          <w:color w:val="000000"/>
        </w:rPr>
        <w:t>Para los sujetos a los que se refiere el numeral 2 del artículo 1.6.1.4.3. de este Decreto será válido el extracto únicamente en relación con las operaciones financieras que realicen las cooperativas de ahorro y crédito, los organismos cooperativos de grado superior, las instituciones auxiliares del cooperativismo, las cooperativas multiactivas e integrales, los fondos de empleados, las cajas de compensación, y las entidades del Estado que realizan las citadas operaciones.</w:t>
      </w:r>
    </w:p>
    <w:p w14:paraId="41B05B50" w14:textId="77777777" w:rsidR="006937F0" w:rsidRPr="006937F0" w:rsidRDefault="006937F0" w:rsidP="006937F0">
      <w:pPr>
        <w:pStyle w:val="Sinespaciado"/>
        <w:shd w:val="clear" w:color="auto" w:fill="FFFFFF"/>
        <w:spacing w:before="0" w:beforeAutospacing="0" w:after="150" w:afterAutospacing="0" w:line="360" w:lineRule="auto"/>
        <w:ind w:left="705"/>
        <w:jc w:val="both"/>
        <w:rPr>
          <w:color w:val="555555"/>
        </w:rPr>
      </w:pPr>
      <w:r w:rsidRPr="006937F0">
        <w:rPr>
          <w:color w:val="555555"/>
        </w:rPr>
        <w:t> </w:t>
      </w:r>
    </w:p>
    <w:p w14:paraId="25ABD6D8"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rStyle w:val="cuerpodeltexto4"/>
          <w:i/>
          <w:iCs/>
          <w:color w:val="000000"/>
          <w:u w:val="single"/>
        </w:rPr>
        <w:t>El documento soporte de que trata el presente artículo será válido en los contratos celebrados con personas o entidades no residentes en Colombia, en cuyo caso, se deberán cumplir los requisitos establecidos en este artículo. Para la procedencia del impuesto sobre las ventas (IVA) descontable se deberá acreditar, adicionalmente, que se ha practicado la respectiva retención en la fuente a título de impuesto sobre las ventas de conformidad con el numeral 3 del artículo 437-2 del Estatuto Tributario y/o a título de impuesto sobre la renta.</w:t>
      </w:r>
      <w:r w:rsidRPr="006937F0">
        <w:rPr>
          <w:i/>
          <w:iCs/>
          <w:color w:val="000000"/>
        </w:rPr>
        <w:t> (...)”.</w:t>
      </w:r>
    </w:p>
    <w:p w14:paraId="4C5DDA95"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47977639"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Lo anterior, es reiterado por medio del artículo 55 de la Resolución 000042 de 2020 expedida por la Dirección de Impuestos y Aduanas Nacionales -DIAN.</w:t>
      </w:r>
    </w:p>
    <w:p w14:paraId="189F385C"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2F41D81F"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rStyle w:val="cuerpodeltexto495ptonegrita"/>
          <w:b/>
          <w:bCs/>
          <w:i/>
          <w:iCs/>
          <w:color w:val="000000"/>
        </w:rPr>
        <w:t>“Artículo 55. </w:t>
      </w:r>
      <w:r w:rsidRPr="006937F0">
        <w:rPr>
          <w:i/>
          <w:iCs/>
          <w:color w:val="000000"/>
        </w:rPr>
        <w:t>Documento soporte en adquisiciones efectuadas a sujetos no obligados a expedir factura de venta o documento equivalente. (...) </w:t>
      </w:r>
      <w:r w:rsidRPr="006937F0">
        <w:rPr>
          <w:rStyle w:val="cuerpodeltexto495ptonegrita"/>
          <w:b/>
          <w:bCs/>
          <w:i/>
          <w:iCs/>
          <w:color w:val="000000"/>
        </w:rPr>
        <w:t>Parágrafo 1. </w:t>
      </w:r>
      <w:r w:rsidRPr="006937F0">
        <w:rPr>
          <w:rStyle w:val="cuerpodeltexto4"/>
          <w:i/>
          <w:iCs/>
          <w:color w:val="000000"/>
          <w:u w:val="single"/>
        </w:rPr>
        <w:t>El documento soporte de que trata el presente artículo será válido en los contratos celebrados con personas o entidades no residentes en Colombia, en cuyo caso, se deberán cumplir los requisitos establecidos en este artículo. Para la procedencia del impuesto sobre las ventas -IVA- descontable se deberá acreditar, adicionalmente, que se ha practicado la respectiva retención en la fuente a título de impuesto sobre las ventas de conformidad con el numeral 3 del artículo 437-2 del Estatuto Tributario y/o a título de Impuesto sobre la Renta”.</w:t>
      </w:r>
    </w:p>
    <w:p w14:paraId="0C0CE7AB"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sz w:val="32"/>
          <w:szCs w:val="32"/>
        </w:rPr>
      </w:pPr>
      <w:r w:rsidRPr="006937F0">
        <w:rPr>
          <w:color w:val="555555"/>
          <w:sz w:val="32"/>
          <w:szCs w:val="32"/>
        </w:rPr>
        <w:t> </w:t>
      </w:r>
    </w:p>
    <w:p w14:paraId="66204CC2"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sz w:val="32"/>
          <w:szCs w:val="32"/>
        </w:rPr>
      </w:pPr>
      <w:r w:rsidRPr="006937F0">
        <w:rPr>
          <w:color w:val="000000"/>
          <w:sz w:val="32"/>
          <w:szCs w:val="32"/>
          <w:highlight w:val="cyan"/>
        </w:rPr>
        <w:t xml:space="preserve">En virtud de lo expuesto, este Despacho reitera y actualiza la doctrina desarrollada por medio del Oficio 190-9000227 de 19 de febrero de 2020, de manera que el documento soporte idóneo para acreditar las operaciones económicas celebradas con prestadores de servicios sin residencia fiscal </w:t>
      </w:r>
      <w:r w:rsidRPr="006937F0">
        <w:rPr>
          <w:color w:val="000000"/>
          <w:sz w:val="32"/>
          <w:szCs w:val="32"/>
          <w:highlight w:val="cyan"/>
        </w:rPr>
        <w:lastRenderedPageBreak/>
        <w:t xml:space="preserve">en Colombia es el </w:t>
      </w:r>
      <w:r w:rsidRPr="006937F0">
        <w:rPr>
          <w:color w:val="000000"/>
          <w:sz w:val="32"/>
          <w:szCs w:val="32"/>
          <w:highlight w:val="yellow"/>
        </w:rPr>
        <w:t>“</w:t>
      </w:r>
      <w:r w:rsidRPr="006937F0">
        <w:rPr>
          <w:rStyle w:val="cuerpodeltexto11"/>
          <w:color w:val="000000"/>
          <w:sz w:val="32"/>
          <w:szCs w:val="32"/>
          <w:highlight w:val="yellow"/>
          <w:u w:val="single"/>
        </w:rPr>
        <w:t xml:space="preserve">Documento soporte en adquisiciones efectuadas a sujetos no obligados a expedir factura de venta o documento </w:t>
      </w:r>
      <w:proofErr w:type="gramStart"/>
      <w:r w:rsidRPr="006937F0">
        <w:rPr>
          <w:rStyle w:val="cuerpodeltexto11"/>
          <w:color w:val="000000"/>
          <w:sz w:val="32"/>
          <w:szCs w:val="32"/>
          <w:highlight w:val="yellow"/>
          <w:u w:val="single"/>
        </w:rPr>
        <w:t>equivalente</w:t>
      </w:r>
      <w:r w:rsidRPr="006937F0">
        <w:rPr>
          <w:color w:val="000000"/>
          <w:sz w:val="32"/>
          <w:szCs w:val="32"/>
          <w:highlight w:val="yellow"/>
        </w:rPr>
        <w:t> ”</w:t>
      </w:r>
      <w:proofErr w:type="gramEnd"/>
      <w:r w:rsidRPr="006937F0">
        <w:rPr>
          <w:color w:val="000000"/>
          <w:sz w:val="32"/>
          <w:szCs w:val="32"/>
          <w:highlight w:val="yellow"/>
        </w:rPr>
        <w:t xml:space="preserve"> en los términos arriba descritos.</w:t>
      </w:r>
    </w:p>
    <w:p w14:paraId="6E7FD556" w14:textId="17E0AC15"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Por otra parte, es pertinente resaltar que el artículo 4 de la Ley 2010 de 2019 modificó el parágrafo 2 del artículo 437 del Estatuto Tributario de la siguiente manera:</w:t>
      </w:r>
    </w:p>
    <w:p w14:paraId="392832EA"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555555"/>
        </w:rPr>
        <w:t> </w:t>
      </w:r>
    </w:p>
    <w:p w14:paraId="563607CF" w14:textId="77777777" w:rsidR="006937F0" w:rsidRPr="00680A47" w:rsidRDefault="006937F0" w:rsidP="006937F0">
      <w:pPr>
        <w:pStyle w:val="Sinespaciado"/>
        <w:shd w:val="clear" w:color="auto" w:fill="FFFFFF"/>
        <w:spacing w:before="0" w:beforeAutospacing="0" w:after="150" w:afterAutospacing="0" w:line="360" w:lineRule="auto"/>
        <w:jc w:val="both"/>
        <w:rPr>
          <w:color w:val="555555"/>
          <w:sz w:val="28"/>
          <w:szCs w:val="28"/>
        </w:rPr>
      </w:pPr>
      <w:r w:rsidRPr="00680A47">
        <w:rPr>
          <w:i/>
          <w:iCs/>
          <w:color w:val="000000"/>
          <w:sz w:val="28"/>
          <w:szCs w:val="28"/>
          <w:highlight w:val="cyan"/>
        </w:rPr>
        <w:t>“Parágrafo 2. (...) Los prestadores de servicios desde el exterior, sin residencia fiscal en Colombia, </w:t>
      </w:r>
      <w:r w:rsidRPr="00680A47">
        <w:rPr>
          <w:rStyle w:val="cuerpodeltexto4"/>
          <w:i/>
          <w:iCs/>
          <w:color w:val="000000"/>
          <w:sz w:val="28"/>
          <w:szCs w:val="28"/>
          <w:highlight w:val="cyan"/>
          <w:u w:val="single"/>
        </w:rPr>
        <w:t>no estarán obligados a expedir factura o documento equivalente por la prestación de los servicios electrónicos o digitales</w:t>
      </w:r>
      <w:r w:rsidRPr="00680A47">
        <w:rPr>
          <w:color w:val="000000"/>
          <w:sz w:val="28"/>
          <w:szCs w:val="28"/>
          <w:highlight w:val="cyan"/>
        </w:rPr>
        <w:t>. </w:t>
      </w:r>
      <w:r w:rsidRPr="00680A47">
        <w:rPr>
          <w:i/>
          <w:iCs/>
          <w:color w:val="000000"/>
          <w:sz w:val="28"/>
          <w:szCs w:val="28"/>
          <w:highlight w:val="cyan"/>
        </w:rPr>
        <w:t>Lo anterior sin perjuicio de las facultades de la Dirección de Impuestos y Aduanas Nacionales (DIAN) para establecer la obligación de facturar electrónicamente o de soportar las operaciones en un documento electrónico”.</w:t>
      </w:r>
    </w:p>
    <w:p w14:paraId="61FF8E11" w14:textId="36326F6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Atentamente,</w:t>
      </w:r>
    </w:p>
    <w:p w14:paraId="57AA2011" w14:textId="61070CE0"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b/>
          <w:bCs/>
          <w:color w:val="000000"/>
        </w:rPr>
        <w:t>PABLO EMILIO MENDOZA VELILLA</w:t>
      </w:r>
    </w:p>
    <w:p w14:paraId="349D00B2"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Subdirector de Gestión Normativa y Doctrina</w:t>
      </w:r>
    </w:p>
    <w:p w14:paraId="06308250"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Dirección de Gestión Jurídica</w:t>
      </w:r>
    </w:p>
    <w:p w14:paraId="0E03DBC8"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UAE-DIAN</w:t>
      </w:r>
    </w:p>
    <w:p w14:paraId="45133B48"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proofErr w:type="spellStart"/>
      <w:r w:rsidRPr="006937F0">
        <w:rPr>
          <w:color w:val="000000"/>
        </w:rPr>
        <w:t>Cra</w:t>
      </w:r>
      <w:proofErr w:type="spellEnd"/>
      <w:r w:rsidRPr="006937F0">
        <w:rPr>
          <w:color w:val="000000"/>
        </w:rPr>
        <w:t xml:space="preserve">. 8 </w:t>
      </w:r>
      <w:proofErr w:type="spellStart"/>
      <w:r w:rsidRPr="006937F0">
        <w:rPr>
          <w:color w:val="000000"/>
        </w:rPr>
        <w:t>N°</w:t>
      </w:r>
      <w:proofErr w:type="spellEnd"/>
      <w:r w:rsidRPr="006937F0">
        <w:rPr>
          <w:color w:val="000000"/>
        </w:rPr>
        <w:t xml:space="preserve"> 6C-38 Piso 4, Edificio San Agustín</w:t>
      </w:r>
    </w:p>
    <w:p w14:paraId="0DD618C5" w14:textId="77777777" w:rsidR="006937F0" w:rsidRPr="006937F0" w:rsidRDefault="006937F0" w:rsidP="006937F0">
      <w:pPr>
        <w:pStyle w:val="Sinespaciado"/>
        <w:shd w:val="clear" w:color="auto" w:fill="FFFFFF"/>
        <w:spacing w:before="0" w:beforeAutospacing="0" w:after="150" w:afterAutospacing="0" w:line="360" w:lineRule="auto"/>
        <w:jc w:val="both"/>
        <w:rPr>
          <w:color w:val="555555"/>
        </w:rPr>
      </w:pPr>
      <w:r w:rsidRPr="006937F0">
        <w:rPr>
          <w:color w:val="000000"/>
        </w:rPr>
        <w:t>Bogotá D.C.</w:t>
      </w:r>
    </w:p>
    <w:p w14:paraId="115E93AC" w14:textId="11BC44B5" w:rsidR="006937F0" w:rsidRDefault="006937F0" w:rsidP="00680A47">
      <w:pPr>
        <w:pStyle w:val="Sinespaciado"/>
        <w:shd w:val="clear" w:color="auto" w:fill="FFFFFF"/>
        <w:spacing w:before="0" w:beforeAutospacing="0" w:after="150" w:afterAutospacing="0" w:line="360" w:lineRule="auto"/>
        <w:jc w:val="both"/>
        <w:rPr>
          <w:color w:val="000000"/>
        </w:rPr>
      </w:pPr>
      <w:r w:rsidRPr="006937F0">
        <w:rPr>
          <w:color w:val="000000"/>
        </w:rPr>
        <w:t>Anexo Oficio 190-9000227 de 19 de febrero de 2020</w:t>
      </w:r>
    </w:p>
    <w:p w14:paraId="7EA483C8" w14:textId="68F71078" w:rsidR="00680A47" w:rsidRPr="006937F0" w:rsidRDefault="00680A47" w:rsidP="00680A47">
      <w:pPr>
        <w:pStyle w:val="Sinespaciado"/>
        <w:shd w:val="clear" w:color="auto" w:fill="FFFFFF"/>
        <w:spacing w:before="0" w:beforeAutospacing="0" w:after="150" w:afterAutospacing="0" w:line="360" w:lineRule="auto"/>
        <w:jc w:val="both"/>
        <w:rPr>
          <w:color w:val="555555"/>
        </w:rPr>
      </w:pPr>
      <w:r>
        <w:rPr>
          <w:color w:val="000000"/>
        </w:rPr>
        <w:t>____________________________________________________________________________</w:t>
      </w:r>
    </w:p>
    <w:p w14:paraId="594B9E69" w14:textId="77777777" w:rsidR="007F5CC8" w:rsidRPr="006937F0" w:rsidRDefault="007F5CC8" w:rsidP="006937F0">
      <w:pPr>
        <w:spacing w:line="360" w:lineRule="auto"/>
        <w:rPr>
          <w:rFonts w:cs="Times New Roman"/>
          <w:szCs w:val="24"/>
        </w:rPr>
      </w:pPr>
    </w:p>
    <w:sectPr w:rsidR="007F5CC8" w:rsidRPr="006937F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BE7"/>
    <w:multiLevelType w:val="multilevel"/>
    <w:tmpl w:val="01E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A57CC"/>
    <w:multiLevelType w:val="multilevel"/>
    <w:tmpl w:val="F8B6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1617918">
    <w:abstractNumId w:val="1"/>
  </w:num>
  <w:num w:numId="2" w16cid:durableId="136852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F0"/>
    <w:rsid w:val="000F3837"/>
    <w:rsid w:val="001E311E"/>
    <w:rsid w:val="00407FF2"/>
    <w:rsid w:val="00434AE6"/>
    <w:rsid w:val="00680A47"/>
    <w:rsid w:val="006937F0"/>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B6C6"/>
  <w15:chartTrackingRefBased/>
  <w15:docId w15:val="{7D4D7D51-D363-428E-9AA1-DFE93336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6937F0"/>
    <w:pPr>
      <w:spacing w:before="100" w:beforeAutospacing="1" w:after="100" w:afterAutospacing="1" w:line="240" w:lineRule="auto"/>
    </w:pPr>
    <w:rPr>
      <w:rFonts w:eastAsia="Times New Roman" w:cs="Times New Roman"/>
      <w:szCs w:val="24"/>
      <w:lang w:eastAsia="es-CO"/>
    </w:rPr>
  </w:style>
  <w:style w:type="character" w:customStyle="1" w:styleId="cuerpodeltexto495ptonegrita">
    <w:name w:val="cuerpodeltexto495ptonegrita"/>
    <w:basedOn w:val="Fuentedeprrafopredeter"/>
    <w:rsid w:val="006937F0"/>
  </w:style>
  <w:style w:type="character" w:customStyle="1" w:styleId="cuerpodeltexto4">
    <w:name w:val="cuerpodeltexto4"/>
    <w:basedOn w:val="Fuentedeprrafopredeter"/>
    <w:rsid w:val="006937F0"/>
  </w:style>
  <w:style w:type="character" w:customStyle="1" w:styleId="cuerpodeltexto11">
    <w:name w:val="cuerpodeltexto11"/>
    <w:basedOn w:val="Fuentedeprrafopredeter"/>
    <w:rsid w:val="0069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347">
      <w:bodyDiv w:val="1"/>
      <w:marLeft w:val="0"/>
      <w:marRight w:val="0"/>
      <w:marTop w:val="0"/>
      <w:marBottom w:val="0"/>
      <w:divBdr>
        <w:top w:val="none" w:sz="0" w:space="0" w:color="auto"/>
        <w:left w:val="none" w:sz="0" w:space="0" w:color="auto"/>
        <w:bottom w:val="none" w:sz="0" w:space="0" w:color="auto"/>
        <w:right w:val="none" w:sz="0" w:space="0" w:color="auto"/>
      </w:divBdr>
    </w:div>
    <w:div w:id="18222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ta.org.co/html/vista_de_un_articulo.asp?Norma=957" TargetMode="External"/><Relationship Id="rId5" Type="http://schemas.openxmlformats.org/officeDocument/2006/relationships/hyperlink" Target="https://www.ceta.org.co/html/vista_de_un_articulo.asp?Norma=75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2292</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2022-07-07T21:53:00Z</dcterms:created>
  <dcterms:modified xsi:type="dcterms:W3CDTF">2022-07-07T22:30:00Z</dcterms:modified>
</cp:coreProperties>
</file>